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657" w:rsidRDefault="00DC513E">
      <w:pPr>
        <w:rPr>
          <w:b/>
          <w:bCs/>
        </w:rPr>
      </w:pPr>
      <w:r w:rsidRPr="00DC513E">
        <w:rPr>
          <w:b/>
          <w:bCs/>
        </w:rPr>
        <w:t xml:space="preserve">Topic 3 DQ 2 Responses </w:t>
      </w:r>
    </w:p>
    <w:p w:rsidR="00AB0A82" w:rsidRDefault="00AB0A82">
      <w:pPr>
        <w:rPr>
          <w:b/>
          <w:bCs/>
        </w:rPr>
      </w:pPr>
    </w:p>
    <w:p w:rsidR="00AB0A82" w:rsidRDefault="00AB0A82" w:rsidP="00AB0A82">
      <w:pPr>
        <w:rPr>
          <w:b/>
          <w:bCs/>
        </w:rPr>
      </w:pPr>
      <w:r>
        <w:rPr>
          <w:b/>
          <w:bCs/>
        </w:rPr>
        <w:t>Jeanne</w:t>
      </w:r>
      <w:r w:rsidR="00DC513E">
        <w:rPr>
          <w:b/>
          <w:bCs/>
        </w:rPr>
        <w:t>’s Discussion</w:t>
      </w:r>
    </w:p>
    <w:p w:rsidR="00AB0A82" w:rsidRPr="00AB0A82" w:rsidRDefault="00AB0A82" w:rsidP="00626BBA">
      <w:pPr>
        <w:spacing w:line="276" w:lineRule="auto"/>
        <w:rPr>
          <w:rFonts w:ascii="Times New Roman" w:hAnsi="Times New Roman" w:cs="Times New Roman"/>
          <w:b/>
          <w:bCs/>
        </w:rPr>
      </w:pPr>
      <w:r w:rsidRPr="00AB0A82">
        <w:rPr>
          <w:rFonts w:ascii="Times New Roman" w:hAnsi="Times New Roman" w:cs="Times New Roman"/>
          <w:color w:val="212121"/>
          <w:spacing w:val="2"/>
          <w:bdr w:val="none" w:sz="0" w:space="0" w:color="auto" w:frame="1"/>
        </w:rPr>
        <w:t>The Institutional Review Board (IRB) plays a vital role in protecting the rights, safety, and well-being of human participants involved in research. Before a study begins, the IRB reviews the research proposal to ensure it complies with ethical standards and federal regulations. The board evaluates potential risks and benefits, confirms that informed consent will be obtained, and ensures that participants’ privacy and confidentiality are protected. The IRB also monitors studies when necessary to verify that researchers continue to follow approved protocols and maintain ethical standards throughout the research process (Melnyk &amp; Fineout-Overholt, 2023).</w:t>
      </w:r>
    </w:p>
    <w:p w:rsidR="00AB0A82" w:rsidRPr="00AB0A82" w:rsidRDefault="00AB0A82" w:rsidP="00626BBA">
      <w:pPr>
        <w:pStyle w:val="NormalWeb"/>
        <w:shd w:val="clear" w:color="auto" w:fill="FFFFFF"/>
        <w:spacing w:before="0" w:beforeAutospacing="0" w:after="0" w:afterAutospacing="0" w:line="276" w:lineRule="auto"/>
        <w:rPr>
          <w:color w:val="212121"/>
          <w:spacing w:val="2"/>
        </w:rPr>
      </w:pPr>
      <w:r w:rsidRPr="00AB0A82">
        <w:rPr>
          <w:color w:val="212121"/>
          <w:spacing w:val="2"/>
          <w:bdr w:val="none" w:sz="0" w:space="0" w:color="auto" w:frame="1"/>
        </w:rPr>
        <w:t xml:space="preserve">One peer-reviewed study involving human subjects that addresses a nursing practice issue is the systematic review by </w:t>
      </w:r>
      <w:proofErr w:type="spellStart"/>
      <w:r w:rsidRPr="00AB0A82">
        <w:rPr>
          <w:color w:val="212121"/>
          <w:spacing w:val="2"/>
          <w:bdr w:val="none" w:sz="0" w:space="0" w:color="auto" w:frame="1"/>
        </w:rPr>
        <w:t>Sakashita</w:t>
      </w:r>
      <w:proofErr w:type="spellEnd"/>
      <w:r w:rsidRPr="00AB0A82">
        <w:rPr>
          <w:color w:val="212121"/>
          <w:spacing w:val="2"/>
          <w:bdr w:val="none" w:sz="0" w:space="0" w:color="auto" w:frame="1"/>
        </w:rPr>
        <w:t xml:space="preserve"> et al. (2025), which examined the effectiveness of nurse-led transitional care interventions in reducing hospital readmissions after discharge from acute care hospitals. The researchers analyzed data from studies involving adult patients to determine whether interventions such as discharge education, medication reconciliation, and post-discharge follow-up improved patient outcomes and reduced 30-day readmission rates. This topic is directly related to my capstone project, which focuses on improving transitional care through a standardized nurse-led discharge planning process.</w:t>
      </w:r>
    </w:p>
    <w:p w:rsidR="00AB0A82" w:rsidRDefault="00AB0A82" w:rsidP="00626BBA">
      <w:pPr>
        <w:pStyle w:val="NormalWeb"/>
        <w:shd w:val="clear" w:color="auto" w:fill="FFFFFF"/>
        <w:spacing w:before="0" w:beforeAutospacing="0" w:after="0" w:afterAutospacing="0" w:line="276" w:lineRule="auto"/>
        <w:rPr>
          <w:color w:val="212121"/>
          <w:spacing w:val="2"/>
          <w:bdr w:val="none" w:sz="0" w:space="0" w:color="auto" w:frame="1"/>
        </w:rPr>
      </w:pPr>
      <w:r w:rsidRPr="00AB0A82">
        <w:rPr>
          <w:color w:val="212121"/>
          <w:spacing w:val="2"/>
          <w:bdr w:val="none" w:sz="0" w:space="0" w:color="auto" w:frame="1"/>
        </w:rPr>
        <w:t>Several ethical considerations were addressed in the studies included in the review. Participants were provided informed consent before enrollment, confidentiality was maintained through secure handling of personal health information, and researchers minimized potential risks by ensuring interventions reflected accepted standards of nursing care. Participants also had the right to withdraw from the studies at any time without affecting their medical treatment. These protections demonstrate the importance of the IRB in ensuring research is conducted ethically while producing evidence that can safely improve nursing practice. Protecting participants’ rights while advancing evidence-based care allows nurses to implement research findings with confidence and improve patient outcomes.</w:t>
      </w:r>
    </w:p>
    <w:p w:rsidR="00626BBA" w:rsidRPr="00AB0A82" w:rsidRDefault="00626BBA" w:rsidP="00626BBA">
      <w:pPr>
        <w:pStyle w:val="NormalWeb"/>
        <w:shd w:val="clear" w:color="auto" w:fill="FFFFFF"/>
        <w:spacing w:before="0" w:beforeAutospacing="0" w:after="0" w:afterAutospacing="0" w:line="276" w:lineRule="auto"/>
        <w:rPr>
          <w:color w:val="212121"/>
          <w:spacing w:val="2"/>
        </w:rPr>
      </w:pPr>
    </w:p>
    <w:p w:rsidR="00AB0A82" w:rsidRPr="00AB0A82" w:rsidRDefault="00AB0A82" w:rsidP="00626BBA">
      <w:pPr>
        <w:pStyle w:val="NormalWeb"/>
        <w:shd w:val="clear" w:color="auto" w:fill="FFFFFF"/>
        <w:spacing w:before="0" w:beforeAutospacing="0" w:after="0" w:afterAutospacing="0" w:line="276" w:lineRule="auto"/>
        <w:rPr>
          <w:color w:val="212121"/>
          <w:spacing w:val="2"/>
        </w:rPr>
      </w:pPr>
      <w:r w:rsidRPr="00AB0A82">
        <w:rPr>
          <w:rStyle w:val="Strong"/>
          <w:rFonts w:ascii="inherit" w:hAnsi="inherit"/>
          <w:color w:val="212121"/>
          <w:spacing w:val="2"/>
          <w:bdr w:val="none" w:sz="0" w:space="0" w:color="auto" w:frame="1"/>
        </w:rPr>
        <w:t>References</w:t>
      </w:r>
    </w:p>
    <w:p w:rsidR="00AB0A82" w:rsidRPr="00AB0A82" w:rsidRDefault="00AB0A82" w:rsidP="00626BBA">
      <w:pPr>
        <w:pStyle w:val="NormalWeb"/>
        <w:shd w:val="clear" w:color="auto" w:fill="FFFFFF"/>
        <w:spacing w:before="0" w:beforeAutospacing="0" w:after="0" w:afterAutospacing="0" w:line="276" w:lineRule="auto"/>
        <w:ind w:left="720" w:hanging="720"/>
        <w:rPr>
          <w:color w:val="212121"/>
          <w:spacing w:val="2"/>
        </w:rPr>
      </w:pPr>
      <w:r w:rsidRPr="00AB0A82">
        <w:rPr>
          <w:color w:val="212121"/>
          <w:spacing w:val="2"/>
          <w:bdr w:val="none" w:sz="0" w:space="0" w:color="auto" w:frame="1"/>
        </w:rPr>
        <w:t>Melnyk, B. M., &amp; Fineout-Overholt, E. (2023). </w:t>
      </w:r>
      <w:r w:rsidRPr="00AB0A82">
        <w:rPr>
          <w:rStyle w:val="Emphasis"/>
          <w:rFonts w:ascii="inherit" w:hAnsi="inherit"/>
          <w:color w:val="212121"/>
          <w:spacing w:val="2"/>
          <w:bdr w:val="none" w:sz="0" w:space="0" w:color="auto" w:frame="1"/>
        </w:rPr>
        <w:t>Evidence-based practice in nursing &amp; healthcare: A guide to best practice</w:t>
      </w:r>
      <w:r w:rsidRPr="00AB0A82">
        <w:rPr>
          <w:color w:val="212121"/>
          <w:spacing w:val="2"/>
          <w:bdr w:val="none" w:sz="0" w:space="0" w:color="auto" w:frame="1"/>
        </w:rPr>
        <w:t> (5th ed.). Wolters Kluwer.</w:t>
      </w:r>
    </w:p>
    <w:p w:rsidR="00AB0A82" w:rsidRPr="00AB0A82" w:rsidRDefault="00AB0A82" w:rsidP="00626BBA">
      <w:pPr>
        <w:pStyle w:val="NormalWeb"/>
        <w:shd w:val="clear" w:color="auto" w:fill="FFFFFF"/>
        <w:spacing w:before="0" w:beforeAutospacing="0" w:after="0" w:afterAutospacing="0" w:line="276" w:lineRule="auto"/>
        <w:ind w:left="720" w:hanging="720"/>
        <w:rPr>
          <w:color w:val="212121"/>
          <w:spacing w:val="2"/>
        </w:rPr>
      </w:pPr>
      <w:proofErr w:type="spellStart"/>
      <w:r w:rsidRPr="00AB0A82">
        <w:rPr>
          <w:color w:val="212121"/>
          <w:spacing w:val="2"/>
          <w:bdr w:val="none" w:sz="0" w:space="0" w:color="auto" w:frame="1"/>
        </w:rPr>
        <w:t>Sakashita</w:t>
      </w:r>
      <w:proofErr w:type="spellEnd"/>
      <w:r w:rsidRPr="00AB0A82">
        <w:rPr>
          <w:color w:val="212121"/>
          <w:spacing w:val="2"/>
          <w:bdr w:val="none" w:sz="0" w:space="0" w:color="auto" w:frame="1"/>
        </w:rPr>
        <w:t>, C., et al. (2025). Effectiveness of nurse-led transitional care interventions for patients discharged from acute care hospitals: A systematic review. </w:t>
      </w:r>
      <w:r w:rsidRPr="00AB0A82">
        <w:rPr>
          <w:rStyle w:val="Emphasis"/>
          <w:rFonts w:ascii="inherit" w:hAnsi="inherit"/>
          <w:color w:val="212121"/>
          <w:spacing w:val="2"/>
          <w:bdr w:val="none" w:sz="0" w:space="0" w:color="auto" w:frame="1"/>
        </w:rPr>
        <w:t>BMC Nursing</w:t>
      </w:r>
      <w:r w:rsidRPr="00AB0A82">
        <w:rPr>
          <w:color w:val="212121"/>
          <w:spacing w:val="2"/>
          <w:bdr w:val="none" w:sz="0" w:space="0" w:color="auto" w:frame="1"/>
        </w:rPr>
        <w:t>.</w:t>
      </w:r>
    </w:p>
    <w:p w:rsidR="00AB0A82" w:rsidRDefault="00AB0A82" w:rsidP="00626BBA">
      <w:pPr>
        <w:spacing w:line="276" w:lineRule="auto"/>
        <w:ind w:left="720" w:hanging="720"/>
        <w:rPr>
          <w:b/>
          <w:bCs/>
        </w:rPr>
      </w:pPr>
    </w:p>
    <w:p w:rsidR="00626BBA" w:rsidRDefault="00626BBA" w:rsidP="00626BBA">
      <w:pPr>
        <w:spacing w:line="276" w:lineRule="auto"/>
        <w:ind w:left="720" w:hanging="720"/>
        <w:rPr>
          <w:b/>
          <w:bCs/>
        </w:rPr>
      </w:pPr>
    </w:p>
    <w:p w:rsidR="00626BBA" w:rsidRDefault="00626BBA" w:rsidP="00626BBA">
      <w:pPr>
        <w:spacing w:line="276" w:lineRule="auto"/>
        <w:rPr>
          <w:b/>
          <w:bCs/>
        </w:rPr>
      </w:pPr>
    </w:p>
    <w:p w:rsidR="00626BBA" w:rsidRDefault="00626BBA" w:rsidP="00626BBA">
      <w:pPr>
        <w:spacing w:line="276" w:lineRule="auto"/>
        <w:rPr>
          <w:b/>
          <w:bCs/>
        </w:rPr>
      </w:pPr>
    </w:p>
    <w:p w:rsidR="00626BBA" w:rsidRDefault="00626BBA" w:rsidP="00626BBA">
      <w:pPr>
        <w:spacing w:line="276" w:lineRule="auto"/>
        <w:rPr>
          <w:b/>
          <w:bCs/>
        </w:rPr>
      </w:pPr>
    </w:p>
    <w:p w:rsidR="00626BBA" w:rsidRDefault="00626BBA" w:rsidP="00626BBA">
      <w:pPr>
        <w:spacing w:line="276" w:lineRule="auto"/>
        <w:rPr>
          <w:b/>
          <w:bCs/>
        </w:rPr>
      </w:pPr>
    </w:p>
    <w:p w:rsidR="00626BBA" w:rsidRPr="00AB0A82" w:rsidRDefault="00626BBA" w:rsidP="00626BBA">
      <w:pPr>
        <w:spacing w:line="276" w:lineRule="auto"/>
        <w:rPr>
          <w:b/>
          <w:bCs/>
        </w:rPr>
      </w:pPr>
    </w:p>
    <w:p w:rsidR="00626BBA" w:rsidRDefault="00626BBA" w:rsidP="00626BBA">
      <w:pPr>
        <w:spacing w:line="360" w:lineRule="atLeast"/>
        <w:textAlignment w:val="baseline"/>
        <w:rPr>
          <w:rFonts w:ascii="Times New Roman" w:eastAsia="Times New Roman" w:hAnsi="Times New Roman" w:cs="Times New Roman"/>
          <w:b/>
          <w:bCs/>
          <w:color w:val="1B1B1B"/>
          <w:spacing w:val="2"/>
          <w:kern w:val="0"/>
          <w:bdr w:val="none" w:sz="0" w:space="0" w:color="auto" w:frame="1"/>
          <w14:ligatures w14:val="none"/>
        </w:rPr>
      </w:pPr>
      <w:r>
        <w:rPr>
          <w:rFonts w:ascii="Times New Roman" w:eastAsia="Times New Roman" w:hAnsi="Times New Roman" w:cs="Times New Roman"/>
          <w:b/>
          <w:bCs/>
          <w:color w:val="1B1B1B"/>
          <w:spacing w:val="2"/>
          <w:kern w:val="0"/>
          <w:bdr w:val="none" w:sz="0" w:space="0" w:color="auto" w:frame="1"/>
          <w14:ligatures w14:val="none"/>
        </w:rPr>
        <w:t>Chiara</w:t>
      </w:r>
      <w:r w:rsidR="00DC513E" w:rsidRPr="00DC513E">
        <w:rPr>
          <w:rFonts w:ascii="Times New Roman" w:eastAsia="Times New Roman" w:hAnsi="Times New Roman" w:cs="Times New Roman"/>
          <w:b/>
          <w:bCs/>
          <w:color w:val="1B1B1B"/>
          <w:spacing w:val="2"/>
          <w:kern w:val="0"/>
          <w:bdr w:val="none" w:sz="0" w:space="0" w:color="auto" w:frame="1"/>
          <w14:ligatures w14:val="none"/>
        </w:rPr>
        <w:t>’s Discussion</w:t>
      </w:r>
    </w:p>
    <w:p w:rsidR="00626BBA" w:rsidRDefault="00626BBA" w:rsidP="00626BBA">
      <w:pPr>
        <w:spacing w:line="276" w:lineRule="auto"/>
        <w:textAlignment w:val="baseline"/>
        <w:rPr>
          <w:rFonts w:ascii="Open Sans" w:hAnsi="Open Sans" w:cs="Open Sans"/>
          <w:color w:val="212121"/>
          <w:spacing w:val="2"/>
          <w:sz w:val="21"/>
          <w:szCs w:val="21"/>
        </w:rPr>
      </w:pPr>
      <w:r>
        <w:rPr>
          <w:rFonts w:ascii="Open Sans" w:hAnsi="Open Sans" w:cs="Open Sans"/>
          <w:color w:val="212121"/>
          <w:spacing w:val="2"/>
          <w:sz w:val="21"/>
          <w:szCs w:val="21"/>
        </w:rPr>
        <w:t xml:space="preserve">The Institutional Review Board (IRB) plays a critical role in protecting the rights, safety, and </w:t>
      </w:r>
      <w:r>
        <w:rPr>
          <w:rFonts w:ascii="Open Sans" w:hAnsi="Open Sans" w:cs="Open Sans"/>
          <w:color w:val="212121"/>
          <w:spacing w:val="2"/>
          <w:sz w:val="21"/>
          <w:szCs w:val="21"/>
        </w:rPr>
        <w:t>well-being</w:t>
      </w:r>
      <w:r>
        <w:rPr>
          <w:rFonts w:ascii="Open Sans" w:hAnsi="Open Sans" w:cs="Open Sans"/>
          <w:color w:val="212121"/>
          <w:spacing w:val="2"/>
          <w:sz w:val="21"/>
          <w:szCs w:val="21"/>
        </w:rPr>
        <w:t xml:space="preserve"> of individuals who participate in research involving human subjects. Before a study begins, the IRB reviews the research proposal to ensure that ethical principles are followed and that the potential benefits outweigh the risks. The IRB evaluates the informed consent process, participant selection, confidentiality measures, privacy protections, and procedures for minimizing physical, psychological, or social harm. Throughout the study, the IRB may also require continuing review to ensure researchers maintain ethical standards and comply with federal regulations (U.S. Department of Health and Human Services [HHS], 2024).</w:t>
      </w:r>
    </w:p>
    <w:p w:rsidR="00626BBA" w:rsidRDefault="00626BBA" w:rsidP="00626BBA">
      <w:pPr>
        <w:spacing w:line="276" w:lineRule="auto"/>
        <w:textAlignment w:val="baseline"/>
        <w:rPr>
          <w:rFonts w:ascii="Open Sans" w:hAnsi="Open Sans" w:cs="Open Sans"/>
          <w:color w:val="000000"/>
          <w:sz w:val="21"/>
          <w:szCs w:val="21"/>
        </w:rPr>
      </w:pPr>
      <w:r>
        <w:rPr>
          <w:rFonts w:ascii="Open Sans" w:hAnsi="Open Sans" w:cs="Open Sans"/>
          <w:color w:val="000000"/>
          <w:sz w:val="21"/>
          <w:szCs w:val="21"/>
        </w:rPr>
        <w:t xml:space="preserve">An example of peer reviewed nursing research involving human subjects is the study by Fontaine et al. (2024), which examined the effects of implementation strategies on nursing practice and patient outcomes through </w:t>
      </w:r>
      <w:r>
        <w:rPr>
          <w:rFonts w:ascii="Open Sans" w:hAnsi="Open Sans" w:cs="Open Sans"/>
          <w:color w:val="000000"/>
          <w:sz w:val="21"/>
          <w:szCs w:val="21"/>
        </w:rPr>
        <w:t>evidence-based</w:t>
      </w:r>
      <w:r>
        <w:rPr>
          <w:rFonts w:ascii="Open Sans" w:hAnsi="Open Sans" w:cs="Open Sans"/>
          <w:color w:val="000000"/>
          <w:sz w:val="21"/>
          <w:szCs w:val="21"/>
        </w:rPr>
        <w:t xml:space="preserve"> interventions. Although the researchers synthesized findings from multiple studies involving human participants, each included study required ethical oversight through an IRB or equivalent ethics committee before data collection. The research addressed an important nursing practice issue by evaluating strategies that improve the implementation of </w:t>
      </w:r>
      <w:r>
        <w:rPr>
          <w:rFonts w:ascii="Open Sans" w:hAnsi="Open Sans" w:cs="Open Sans"/>
          <w:color w:val="000000"/>
          <w:sz w:val="21"/>
          <w:szCs w:val="21"/>
        </w:rPr>
        <w:t>evidence-based</w:t>
      </w:r>
      <w:r>
        <w:rPr>
          <w:rFonts w:ascii="Open Sans" w:hAnsi="Open Sans" w:cs="Open Sans"/>
          <w:color w:val="000000"/>
          <w:sz w:val="21"/>
          <w:szCs w:val="21"/>
        </w:rPr>
        <w:t xml:space="preserve"> practice among nurses, ultimately enhancing patient safety and quality of care (Fontaine et al., 2024).</w:t>
      </w:r>
    </w:p>
    <w:p w:rsidR="00626BBA" w:rsidRDefault="00626BBA" w:rsidP="00626BBA">
      <w:pPr>
        <w:spacing w:line="276" w:lineRule="auto"/>
        <w:textAlignment w:val="baseline"/>
        <w:rPr>
          <w:rFonts w:ascii="Open Sans" w:hAnsi="Open Sans" w:cs="Open Sans"/>
          <w:color w:val="000000"/>
          <w:sz w:val="21"/>
          <w:szCs w:val="21"/>
        </w:rPr>
      </w:pPr>
      <w:r>
        <w:rPr>
          <w:rFonts w:ascii="Open Sans" w:hAnsi="Open Sans" w:cs="Open Sans"/>
          <w:color w:val="000000"/>
          <w:sz w:val="21"/>
          <w:szCs w:val="21"/>
        </w:rPr>
        <w:t>Several ethical considerations were incorporated throughout the research process. Researchers ensured that participants provided informed consent before participating, understood the purpose of the study, and were aware that participation was voluntary. Confidentiality was maintained by protecting participants' identities and securely storing collected data. Researchers also minimized potential risks by ensuring that interventions did not interfere with routine patient care and that participants could withdraw from the study at any time without penalty. These ethical safeguards reflect the core principles outlined in the Belmont Report: respect for persons, beneficence, and justice, which continue to guide ethical research involving human subjects (HHS, 2024).</w:t>
      </w:r>
    </w:p>
    <w:p w:rsidR="00626BBA" w:rsidRPr="00626BBA" w:rsidRDefault="00626BBA" w:rsidP="00626BBA">
      <w:pPr>
        <w:spacing w:line="276" w:lineRule="auto"/>
        <w:textAlignment w:val="baseline"/>
        <w:rPr>
          <w:rFonts w:ascii="Times New Roman" w:eastAsia="Times New Roman" w:hAnsi="Times New Roman" w:cs="Times New Roman"/>
          <w:b/>
          <w:bCs/>
          <w:color w:val="1B1B1B"/>
          <w:spacing w:val="2"/>
          <w:kern w:val="0"/>
          <w:bdr w:val="none" w:sz="0" w:space="0" w:color="auto" w:frame="1"/>
          <w14:ligatures w14:val="none"/>
        </w:rPr>
      </w:pPr>
      <w:r>
        <w:rPr>
          <w:rFonts w:ascii="Open Sans" w:hAnsi="Open Sans" w:cs="Open Sans"/>
          <w:color w:val="000000"/>
          <w:sz w:val="21"/>
          <w:szCs w:val="21"/>
        </w:rPr>
        <w:t xml:space="preserve">The IRB serves as an essential safeguard in nursing research by protecting participants while supporting the advancement of </w:t>
      </w:r>
      <w:r>
        <w:rPr>
          <w:rFonts w:ascii="Open Sans" w:hAnsi="Open Sans" w:cs="Open Sans"/>
          <w:color w:val="000000"/>
          <w:sz w:val="21"/>
          <w:szCs w:val="21"/>
        </w:rPr>
        <w:t>evidence-based</w:t>
      </w:r>
      <w:r>
        <w:rPr>
          <w:rFonts w:ascii="Open Sans" w:hAnsi="Open Sans" w:cs="Open Sans"/>
          <w:color w:val="000000"/>
          <w:sz w:val="21"/>
          <w:szCs w:val="21"/>
        </w:rPr>
        <w:t xml:space="preserve"> practice. Ethical oversight allows researchers to generate reliable evidence that nurses can confidently apply to improve patient outcomes and strengthen the quality of healthcare delivery.</w:t>
      </w:r>
    </w:p>
    <w:p w:rsidR="00626BBA" w:rsidRPr="00626BBA" w:rsidRDefault="00626BBA" w:rsidP="00626BBA">
      <w:pPr>
        <w:pStyle w:val="NormalWeb"/>
        <w:shd w:val="clear" w:color="auto" w:fill="FFFFFF"/>
        <w:spacing w:before="0" w:after="0" w:line="276" w:lineRule="auto"/>
        <w:rPr>
          <w:rFonts w:ascii="Open Sans" w:hAnsi="Open Sans" w:cs="Open Sans"/>
          <w:color w:val="000000"/>
        </w:rPr>
      </w:pPr>
      <w:proofErr w:type="spellStart"/>
      <w:r w:rsidRPr="00626BBA">
        <w:rPr>
          <w:rStyle w:val="Strong"/>
          <w:rFonts w:ascii="inherit" w:hAnsi="inherit" w:cs="Open Sans"/>
          <w:color w:val="000000"/>
          <w:bdr w:val="none" w:sz="0" w:space="0" w:color="auto" w:frame="1"/>
        </w:rPr>
        <w:t>References</w:t>
      </w:r>
      <w:proofErr w:type="spellEnd"/>
    </w:p>
    <w:p w:rsidR="00626BBA" w:rsidRDefault="00626BBA" w:rsidP="00626BBA">
      <w:pPr>
        <w:pStyle w:val="NormalWeb"/>
        <w:shd w:val="clear" w:color="auto" w:fill="FFFFFF"/>
        <w:spacing w:before="0" w:after="0" w:line="276" w:lineRule="auto"/>
        <w:ind w:left="720" w:hanging="720"/>
        <w:rPr>
          <w:rFonts w:ascii="Open Sans" w:hAnsi="Open Sans" w:cs="Open Sans"/>
          <w:color w:val="000000"/>
          <w:sz w:val="21"/>
          <w:szCs w:val="21"/>
        </w:rPr>
      </w:pPr>
      <w:r>
        <w:rPr>
          <w:rFonts w:ascii="Open Sans" w:hAnsi="Open Sans" w:cs="Open Sans"/>
          <w:color w:val="000000"/>
          <w:sz w:val="21"/>
          <w:szCs w:val="21"/>
        </w:rPr>
        <w:t xml:space="preserve">Fontaine, G., </w:t>
      </w:r>
      <w:proofErr w:type="spellStart"/>
      <w:r>
        <w:rPr>
          <w:rFonts w:ascii="Open Sans" w:hAnsi="Open Sans" w:cs="Open Sans"/>
          <w:color w:val="000000"/>
          <w:sz w:val="21"/>
          <w:szCs w:val="21"/>
        </w:rPr>
        <w:t>Vinette</w:t>
      </w:r>
      <w:proofErr w:type="spellEnd"/>
      <w:r>
        <w:rPr>
          <w:rFonts w:ascii="Open Sans" w:hAnsi="Open Sans" w:cs="Open Sans"/>
          <w:color w:val="000000"/>
          <w:sz w:val="21"/>
          <w:szCs w:val="21"/>
        </w:rPr>
        <w:t xml:space="preserve">, B., Weight, C., </w:t>
      </w:r>
      <w:proofErr w:type="spellStart"/>
      <w:r>
        <w:rPr>
          <w:rFonts w:ascii="Open Sans" w:hAnsi="Open Sans" w:cs="Open Sans"/>
          <w:color w:val="000000"/>
          <w:sz w:val="21"/>
          <w:szCs w:val="21"/>
        </w:rPr>
        <w:t>Maheu</w:t>
      </w:r>
      <w:proofErr w:type="spellEnd"/>
      <w:r>
        <w:rPr>
          <w:rFonts w:ascii="Open Sans" w:hAnsi="Open Sans" w:cs="Open Sans"/>
          <w:color w:val="000000"/>
          <w:sz w:val="21"/>
          <w:szCs w:val="21"/>
        </w:rPr>
        <w:t xml:space="preserve"> </w:t>
      </w:r>
      <w:proofErr w:type="spellStart"/>
      <w:r>
        <w:rPr>
          <w:rFonts w:ascii="Open Sans" w:hAnsi="Open Sans" w:cs="Open Sans"/>
          <w:color w:val="000000"/>
          <w:sz w:val="21"/>
          <w:szCs w:val="21"/>
        </w:rPr>
        <w:t>Cadotte</w:t>
      </w:r>
      <w:proofErr w:type="spellEnd"/>
      <w:r>
        <w:rPr>
          <w:rFonts w:ascii="Open Sans" w:hAnsi="Open Sans" w:cs="Open Sans"/>
          <w:color w:val="000000"/>
          <w:sz w:val="21"/>
          <w:szCs w:val="21"/>
        </w:rPr>
        <w:t xml:space="preserve">, M. A., </w:t>
      </w:r>
      <w:proofErr w:type="spellStart"/>
      <w:r>
        <w:rPr>
          <w:rFonts w:ascii="Open Sans" w:hAnsi="Open Sans" w:cs="Open Sans"/>
          <w:color w:val="000000"/>
          <w:sz w:val="21"/>
          <w:szCs w:val="21"/>
        </w:rPr>
        <w:t>Lavallée</w:t>
      </w:r>
      <w:proofErr w:type="spellEnd"/>
      <w:r>
        <w:rPr>
          <w:rFonts w:ascii="Open Sans" w:hAnsi="Open Sans" w:cs="Open Sans"/>
          <w:color w:val="000000"/>
          <w:sz w:val="21"/>
          <w:szCs w:val="21"/>
        </w:rPr>
        <w:t xml:space="preserve">, A., </w:t>
      </w:r>
      <w:proofErr w:type="spellStart"/>
      <w:r>
        <w:rPr>
          <w:rFonts w:ascii="Open Sans" w:hAnsi="Open Sans" w:cs="Open Sans"/>
          <w:color w:val="000000"/>
          <w:sz w:val="21"/>
          <w:szCs w:val="21"/>
        </w:rPr>
        <w:t>Deschênes</w:t>
      </w:r>
      <w:proofErr w:type="spellEnd"/>
      <w:r>
        <w:rPr>
          <w:rFonts w:ascii="Open Sans" w:hAnsi="Open Sans" w:cs="Open Sans"/>
          <w:color w:val="000000"/>
          <w:sz w:val="21"/>
          <w:szCs w:val="21"/>
        </w:rPr>
        <w:t xml:space="preserve">, M. F., Lapierre, A., Castiglione, S. A., Chicoine, G., Rouleau, G., </w:t>
      </w:r>
      <w:proofErr w:type="spellStart"/>
      <w:r>
        <w:rPr>
          <w:rFonts w:ascii="Open Sans" w:hAnsi="Open Sans" w:cs="Open Sans"/>
          <w:color w:val="000000"/>
          <w:sz w:val="21"/>
          <w:szCs w:val="21"/>
        </w:rPr>
        <w:t>Argiropoulos</w:t>
      </w:r>
      <w:proofErr w:type="spellEnd"/>
      <w:r>
        <w:rPr>
          <w:rFonts w:ascii="Open Sans" w:hAnsi="Open Sans" w:cs="Open Sans"/>
          <w:color w:val="000000"/>
          <w:sz w:val="21"/>
          <w:szCs w:val="21"/>
        </w:rPr>
        <w:t xml:space="preserve">, N., </w:t>
      </w:r>
      <w:proofErr w:type="spellStart"/>
      <w:r>
        <w:rPr>
          <w:rFonts w:ascii="Open Sans" w:hAnsi="Open Sans" w:cs="Open Sans"/>
          <w:color w:val="000000"/>
          <w:sz w:val="21"/>
          <w:szCs w:val="21"/>
        </w:rPr>
        <w:t>Konnyu</w:t>
      </w:r>
      <w:proofErr w:type="spellEnd"/>
      <w:r>
        <w:rPr>
          <w:rFonts w:ascii="Open Sans" w:hAnsi="Open Sans" w:cs="Open Sans"/>
          <w:color w:val="000000"/>
          <w:sz w:val="21"/>
          <w:szCs w:val="21"/>
        </w:rPr>
        <w:t xml:space="preserve">, K., Mooney, M., Cassidy, C. E., </w:t>
      </w:r>
      <w:proofErr w:type="spellStart"/>
      <w:r>
        <w:rPr>
          <w:rFonts w:ascii="Open Sans" w:hAnsi="Open Sans" w:cs="Open Sans"/>
          <w:color w:val="000000"/>
          <w:sz w:val="21"/>
          <w:szCs w:val="21"/>
        </w:rPr>
        <w:t>Mailhot</w:t>
      </w:r>
      <w:proofErr w:type="spellEnd"/>
      <w:r>
        <w:rPr>
          <w:rFonts w:ascii="Open Sans" w:hAnsi="Open Sans" w:cs="Open Sans"/>
          <w:color w:val="000000"/>
          <w:sz w:val="21"/>
          <w:szCs w:val="21"/>
        </w:rPr>
        <w:t xml:space="preserve">, T., Lavoie, P., Pépin, C., Cossette, S., Gagnon, M. P., &amp; </w:t>
      </w:r>
      <w:proofErr w:type="spellStart"/>
      <w:r>
        <w:rPr>
          <w:rFonts w:ascii="Open Sans" w:hAnsi="Open Sans" w:cs="Open Sans"/>
          <w:color w:val="000000"/>
          <w:sz w:val="21"/>
          <w:szCs w:val="21"/>
        </w:rPr>
        <w:t>Semenic</w:t>
      </w:r>
      <w:proofErr w:type="spellEnd"/>
      <w:r>
        <w:rPr>
          <w:rFonts w:ascii="Open Sans" w:hAnsi="Open Sans" w:cs="Open Sans"/>
          <w:color w:val="000000"/>
          <w:sz w:val="21"/>
          <w:szCs w:val="21"/>
        </w:rPr>
        <w:t xml:space="preserve">, S. (2024). Effects of implementation strategies on nursing practice and patient </w:t>
      </w:r>
      <w:r>
        <w:rPr>
          <w:rFonts w:ascii="Open Sans" w:hAnsi="Open Sans" w:cs="Open Sans"/>
          <w:color w:val="000000"/>
          <w:sz w:val="21"/>
          <w:szCs w:val="21"/>
        </w:rPr>
        <w:lastRenderedPageBreak/>
        <w:t xml:space="preserve">outcomes: A comprehensive systematic review and </w:t>
      </w:r>
      <w:proofErr w:type="spellStart"/>
      <w:proofErr w:type="gramStart"/>
      <w:r>
        <w:rPr>
          <w:rFonts w:ascii="Open Sans" w:hAnsi="Open Sans" w:cs="Open Sans"/>
          <w:color w:val="000000"/>
          <w:sz w:val="21"/>
          <w:szCs w:val="21"/>
        </w:rPr>
        <w:t>meta analysis</w:t>
      </w:r>
      <w:proofErr w:type="spellEnd"/>
      <w:proofErr w:type="gramEnd"/>
      <w:r>
        <w:rPr>
          <w:rFonts w:ascii="Open Sans" w:hAnsi="Open Sans" w:cs="Open Sans"/>
          <w:color w:val="000000"/>
          <w:sz w:val="21"/>
          <w:szCs w:val="21"/>
        </w:rPr>
        <w:t>. </w:t>
      </w:r>
      <w:r>
        <w:rPr>
          <w:rStyle w:val="Emphasis"/>
          <w:rFonts w:ascii="inherit" w:hAnsi="inherit" w:cs="Open Sans"/>
          <w:color w:val="000000"/>
          <w:sz w:val="21"/>
          <w:szCs w:val="21"/>
          <w:bdr w:val="none" w:sz="0" w:space="0" w:color="auto" w:frame="1"/>
        </w:rPr>
        <w:t>Implementation Science, 19</w:t>
      </w:r>
      <w:r>
        <w:rPr>
          <w:rFonts w:ascii="Open Sans" w:hAnsi="Open Sans" w:cs="Open Sans"/>
          <w:color w:val="000000"/>
          <w:sz w:val="21"/>
          <w:szCs w:val="21"/>
        </w:rPr>
        <w:t>(1). </w:t>
      </w:r>
      <w:hyperlink r:id="rId4" w:tgtFrame="_blank" w:history="1">
        <w:r>
          <w:rPr>
            <w:rStyle w:val="Hyperlink"/>
            <w:rFonts w:ascii="inherit" w:hAnsi="inherit" w:cs="Open Sans"/>
            <w:color w:val="1A65B0"/>
            <w:sz w:val="21"/>
            <w:szCs w:val="21"/>
            <w:bdr w:val="none" w:sz="0" w:space="0" w:color="auto" w:frame="1"/>
          </w:rPr>
          <w:t>https://doi.org/10.1186/s13012-024-01398-0</w:t>
        </w:r>
      </w:hyperlink>
    </w:p>
    <w:p w:rsidR="00626BBA" w:rsidRDefault="00626BBA" w:rsidP="00626BBA">
      <w:pPr>
        <w:pStyle w:val="NormalWeb"/>
        <w:shd w:val="clear" w:color="auto" w:fill="FFFFFF"/>
        <w:spacing w:before="0" w:after="0" w:line="276" w:lineRule="auto"/>
        <w:ind w:left="720" w:hanging="720"/>
        <w:rPr>
          <w:rFonts w:ascii="Open Sans" w:hAnsi="Open Sans" w:cs="Open Sans"/>
          <w:color w:val="000000"/>
          <w:sz w:val="21"/>
          <w:szCs w:val="21"/>
        </w:rPr>
      </w:pPr>
      <w:r>
        <w:rPr>
          <w:rFonts w:ascii="Open Sans" w:hAnsi="Open Sans" w:cs="Open Sans"/>
          <w:color w:val="000000"/>
          <w:sz w:val="21"/>
          <w:szCs w:val="21"/>
        </w:rPr>
        <w:t>U.S. Department of Health and Human Services. (2024). </w:t>
      </w:r>
      <w:r>
        <w:rPr>
          <w:rStyle w:val="Emphasis"/>
          <w:rFonts w:ascii="inherit" w:hAnsi="inherit" w:cs="Open Sans"/>
          <w:color w:val="000000"/>
          <w:sz w:val="21"/>
          <w:szCs w:val="21"/>
          <w:bdr w:val="none" w:sz="0" w:space="0" w:color="auto" w:frame="1"/>
        </w:rPr>
        <w:t>Institutional review boards (IRBs) and protection of human subjects in clinical trials</w:t>
      </w:r>
      <w:r>
        <w:rPr>
          <w:rFonts w:ascii="Open Sans" w:hAnsi="Open Sans" w:cs="Open Sans"/>
          <w:color w:val="000000"/>
          <w:sz w:val="21"/>
          <w:szCs w:val="21"/>
        </w:rPr>
        <w:t>. </w:t>
      </w:r>
      <w:hyperlink r:id="rId5" w:tgtFrame="_blank" w:history="1">
        <w:r>
          <w:rPr>
            <w:rStyle w:val="Hyperlink"/>
            <w:rFonts w:ascii="inherit" w:hAnsi="inherit" w:cs="Open Sans"/>
            <w:color w:val="1A65B0"/>
            <w:sz w:val="21"/>
            <w:szCs w:val="21"/>
            <w:bdr w:val="none" w:sz="0" w:space="0" w:color="auto" w:frame="1"/>
          </w:rPr>
          <w:t>https://www.hhs.gov/ohrp/regulations-and-policy/guidance/index.html</w:t>
        </w:r>
      </w:hyperlink>
    </w:p>
    <w:p w:rsidR="00DC513E" w:rsidRDefault="00DC513E" w:rsidP="00626BBA">
      <w:pPr>
        <w:spacing w:line="276" w:lineRule="auto"/>
      </w:pPr>
    </w:p>
    <w:sectPr w:rsidR="00DC5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3E"/>
    <w:rsid w:val="00626BBA"/>
    <w:rsid w:val="006451FF"/>
    <w:rsid w:val="007972DA"/>
    <w:rsid w:val="00AB0A82"/>
    <w:rsid w:val="00B72657"/>
    <w:rsid w:val="00DC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2C40D1"/>
  <w15:chartTrackingRefBased/>
  <w15:docId w15:val="{15016420-011E-A042-BE79-8DDE56A8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513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C513E"/>
    <w:rPr>
      <w:b/>
      <w:bCs/>
    </w:rPr>
  </w:style>
  <w:style w:type="character" w:styleId="Emphasis">
    <w:name w:val="Emphasis"/>
    <w:basedOn w:val="DefaultParagraphFont"/>
    <w:uiPriority w:val="20"/>
    <w:qFormat/>
    <w:rsid w:val="00DC513E"/>
    <w:rPr>
      <w:i/>
      <w:iCs/>
    </w:rPr>
  </w:style>
  <w:style w:type="character" w:styleId="Hyperlink">
    <w:name w:val="Hyperlink"/>
    <w:basedOn w:val="DefaultParagraphFont"/>
    <w:uiPriority w:val="99"/>
    <w:semiHidden/>
    <w:unhideWhenUsed/>
    <w:rsid w:val="00DC513E"/>
    <w:rPr>
      <w:color w:val="0000FF"/>
      <w:u w:val="single"/>
    </w:rPr>
  </w:style>
  <w:style w:type="character" w:styleId="HTMLCode">
    <w:name w:val="HTML Code"/>
    <w:basedOn w:val="DefaultParagraphFont"/>
    <w:uiPriority w:val="99"/>
    <w:semiHidden/>
    <w:unhideWhenUsed/>
    <w:rsid w:val="00DC51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6620">
      <w:bodyDiv w:val="1"/>
      <w:marLeft w:val="0"/>
      <w:marRight w:val="0"/>
      <w:marTop w:val="0"/>
      <w:marBottom w:val="0"/>
      <w:divBdr>
        <w:top w:val="none" w:sz="0" w:space="0" w:color="auto"/>
        <w:left w:val="none" w:sz="0" w:space="0" w:color="auto"/>
        <w:bottom w:val="none" w:sz="0" w:space="0" w:color="auto"/>
        <w:right w:val="none" w:sz="0" w:space="0" w:color="auto"/>
      </w:divBdr>
    </w:div>
    <w:div w:id="1231845781">
      <w:bodyDiv w:val="1"/>
      <w:marLeft w:val="0"/>
      <w:marRight w:val="0"/>
      <w:marTop w:val="0"/>
      <w:marBottom w:val="0"/>
      <w:divBdr>
        <w:top w:val="none" w:sz="0" w:space="0" w:color="auto"/>
        <w:left w:val="none" w:sz="0" w:space="0" w:color="auto"/>
        <w:bottom w:val="none" w:sz="0" w:space="0" w:color="auto"/>
        <w:right w:val="none" w:sz="0" w:space="0" w:color="auto"/>
      </w:divBdr>
    </w:div>
    <w:div w:id="1390113592">
      <w:bodyDiv w:val="1"/>
      <w:marLeft w:val="0"/>
      <w:marRight w:val="0"/>
      <w:marTop w:val="0"/>
      <w:marBottom w:val="0"/>
      <w:divBdr>
        <w:top w:val="none" w:sz="0" w:space="0" w:color="auto"/>
        <w:left w:val="none" w:sz="0" w:space="0" w:color="auto"/>
        <w:bottom w:val="none" w:sz="0" w:space="0" w:color="auto"/>
        <w:right w:val="none" w:sz="0" w:space="0" w:color="auto"/>
      </w:divBdr>
    </w:div>
    <w:div w:id="1410349572">
      <w:bodyDiv w:val="1"/>
      <w:marLeft w:val="0"/>
      <w:marRight w:val="0"/>
      <w:marTop w:val="0"/>
      <w:marBottom w:val="0"/>
      <w:divBdr>
        <w:top w:val="none" w:sz="0" w:space="0" w:color="auto"/>
        <w:left w:val="none" w:sz="0" w:space="0" w:color="auto"/>
        <w:bottom w:val="none" w:sz="0" w:space="0" w:color="auto"/>
        <w:right w:val="none" w:sz="0" w:space="0" w:color="auto"/>
      </w:divBdr>
    </w:div>
    <w:div w:id="207192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hs.gov/ohrp/regulations-and-policy/guidance/index.html" TargetMode="External"/><Relationship Id="rId4" Type="http://schemas.openxmlformats.org/officeDocument/2006/relationships/hyperlink" Target="https://doi.org/10.1186/s13012-024-013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2026-07-03T20:32:00Z</dcterms:created>
  <dcterms:modified xsi:type="dcterms:W3CDTF">2026-07-03T20:32:00Z</dcterms:modified>
</cp:coreProperties>
</file>